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</w:tblPr>
      <w:tblGrid>
        <w:gridCol w:w="5074"/>
        <w:gridCol w:w="5074"/>
      </w:tblGrid>
      <w:tr>
        <w:tc>
          <w:tcPr>
            <w:tcW w:type="dxa" w:w="7144"/>
            <w:tcMar>
              <w:top w:w="0" w:type="dxa"/>
              <w:start w:w="0" w:type="dxa"/>
              <w:bottom w:w="40" w:type="dxa"/>
              <w:end w:w="0" w:type="dxa"/>
            </w:tcMar>
            <w:vAlign w:val="center"/>
          </w:tcPr>
          <w:p>
            <w:pPr>
              <w:pStyle w:val="Title"/>
            </w:pPr>
            <w:r/>
            <w:r>
              <w:t>ИНСТРУКЦИЯ ПО ЭКСПЛУАТАЦИИ</w:t>
            </w:r>
          </w:p>
          <w:p>
            <w:pPr>
              <w:pStyle w:val="Subtitle"/>
              <w:spacing w:before="20" w:after="60" w:line="240" w:lineRule="auto"/>
              <w:jc w:val="left"/>
            </w:pPr>
            <w:r>
              <w:rPr>
                <w:rFonts w:ascii="Arial" w:hAnsi="Arial" w:eastAsia="Arial"/>
                <w:b/>
                <w:color w:val="0A7684"/>
                <w:sz w:val="17"/>
              </w:rPr>
              <w:t>Датчик движения QENVI MD-CR 360/8 — арт. 1201</w:t>
              <w:br/>
            </w:r>
            <w:r>
              <w:rPr>
                <w:rFonts w:ascii="Arial" w:hAnsi="Arial" w:eastAsia="Arial"/>
                <w:b/>
                <w:color w:val="0A7684"/>
                <w:sz w:val="17"/>
              </w:rPr>
              <w:t>Датчик движения QENVI MD-CR 360/8 BK — арт. 1202</w:t>
            </w:r>
          </w:p>
          <w:p>
            <w:pPr>
              <w:spacing w:after="0" w:line="269" w:lineRule="auto"/>
            </w:pPr>
            <w:r>
              <w:t>В устройстве используются чувствительный инфракрасный детектор и интегральная электронная схема. Датчик автоматически включает подключенную нагрузку при обнаружении движения человека в зоне действия. Встроенный датчик освещенности позволяет выбирать работу днем и/или ночью.</w:t>
            </w:r>
          </w:p>
        </w:tc>
        <w:tc>
          <w:tcPr>
            <w:tcW w:type="dxa" w:w="2891"/>
            <w:tcMar>
              <w:top w:w="0" w:type="dxa"/>
              <w:start w:w="0" w:type="dxa"/>
              <w:bottom w:w="40" w:type="dxa"/>
              <w:end w:w="0" w:type="dxa"/>
            </w:tcMar>
            <w:vAlign w:val="center"/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1620000" cy="1531676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roduct-whit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316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Технические характеристики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5" w:space="0" w:color="CCD8DC"/>
          <w:left w:val="single" w:sz="5" w:space="0" w:color="CCD8DC"/>
          <w:bottom w:val="single" w:sz="5" w:space="0" w:color="CCD8DC"/>
          <w:right w:val="single" w:sz="5" w:space="0" w:color="CCD8DC"/>
          <w:insideH w:val="single" w:sz="5" w:space="0" w:color="CCD8DC"/>
          <w:insideV w:val="single" w:sz="5" w:space="0" w:color="CCD8DC"/>
        </w:tblBorders>
      </w:tblPr>
      <w:tblGrid>
        <w:gridCol w:w="5074"/>
        <w:gridCol w:w="5074"/>
      </w:tblGrid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Напряжение питания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220-240 В переменного тока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Частота сети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50/60 Гц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Угол обнаружения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360°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Дальность обнаружения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до 8 м при температуре ниже 24°C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Настройка освещенности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менее 10-2000 лк, регулируемая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Задержка выключения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от 10 ± 3 с до 7 ± 2 мин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Номинальная нагрузка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1200 Вт - лампы накаливания; 300 Вт - энергосберегающие лампы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Рабочая температура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от -20°C до +40°C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Рабочая влажность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менее 93% RH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Высота установки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2,2-4 м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Потребляемая мощность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менее 0,9 Вт в рабочем и дежурном режимах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Скорость движения объекта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0,6-1,5 м/с</w:t>
            </w:r>
          </w:p>
        </w:tc>
      </w:tr>
    </w:tbl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Функции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Распознавание уровня освещенности. В положении SUN датчик работает днем и ночью; в положении MOON - только при низкой освещенности.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Повторный отсчет времени. При новом обнаружении движения во время уже начавшейся задержки отсчет запускается заново.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Регулировка задержки выключения в пределах, указанных в технических характеристиках.</w:t>
      </w:r>
    </w:p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Меры безопасности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10" w:space="0" w:color="D49A00"/>
          <w:left w:val="single" w:sz="10" w:space="0" w:color="D49A00"/>
          <w:bottom w:val="single" w:sz="10" w:space="0" w:color="D49A00"/>
          <w:right w:val="single" w:sz="10" w:space="0" w:color="D49A00"/>
          <w:insideH w:val="single" w:sz="10" w:space="0" w:color="D49A00"/>
          <w:insideV w:val="single" w:sz="10" w:space="0" w:color="D49A00"/>
        </w:tblBorders>
      </w:tblPr>
      <w:tblGrid>
        <w:gridCol w:w="10148"/>
      </w:tblGrid>
      <w:tr>
        <w:tc>
          <w:tcPr>
            <w:tcW w:type="dxa" w:w="10035"/>
            <w:shd w:fill="FFF4D6"/>
            <w:tcMar>
              <w:top w:w="120" w:type="dxa"/>
              <w:start w:w="160" w:type="dxa"/>
              <w:bottom w:w="120" w:type="dxa"/>
              <w:end w:w="160" w:type="dxa"/>
            </w:tcMar>
          </w:tcPr>
          <w:p>
            <w:pPr>
              <w:spacing w:after="40"/>
            </w:pPr>
            <w:r>
              <w:rPr>
                <w:rFonts w:ascii="Arial" w:hAnsi="Arial" w:eastAsia="Arial"/>
                <w:b/>
                <w:color w:val="17212B"/>
                <w:sz w:val="18"/>
              </w:rPr>
              <w:t>ВНИМАНИЕ. ОПАСНОЕ НАПРЯЖЕНИЕ.</w:t>
            </w:r>
          </w:p>
          <w:p>
            <w:pPr>
              <w:spacing w:after="0"/>
            </w:pPr>
            <w:r>
              <w:rPr>
                <w:rFonts w:ascii="Arial" w:hAnsi="Arial" w:eastAsia="Arial"/>
                <w:b w:val="0"/>
                <w:color w:val="17212B"/>
                <w:sz w:val="18"/>
              </w:rPr>
              <w:t>Устройство должно устанавливаться квалифицированным электриком. Перед монтажом отключите питание, исключите его случайное включение и проверьте отсутствие напряжения. Не касайтесь находящихся рядом токоведущих частей.</w:t>
            </w:r>
          </w:p>
        </w:tc>
      </w:tr>
    </w:tbl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Монтаж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1. Отключите питание.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2. Сдвиньте прозрачную защитную крышку на нижней части датчика.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3. Ослабьте винты клеммной колодки и подключите питание и нагрузку согласно схеме.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4. Затяните винты и верните защитную крышку в исходное положение.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5. Поднимите металлические пружины вверх, расположив их параллельно корпусу датчика.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6. Вставьте датчик в подготовленное отверстие или монтажную коробку в потолке, затем отпустите пружины для фиксации.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7. После завершения монтажа включите питание и выполните проверку.</w:t>
      </w:r>
    </w:p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Подключение</w:t>
      </w:r>
    </w:p>
    <w:p>
      <w:pPr>
        <w:spacing w:after="40"/>
      </w:pPr>
      <w:r>
        <w:rPr>
          <w:rFonts w:ascii="Arial" w:hAnsi="Arial" w:eastAsia="Arial"/>
          <w:color w:val="17212B"/>
          <w:sz w:val="18"/>
        </w:rPr>
        <w:t>Подключите питание и нагрузку в соответствии с маркировкой клемм на корпусе датчика. Обозначения: L - фаза питания; N - нейтраль; A - коммутируемый выход на нагрузку.</w:t>
      </w:r>
    </w:p>
    <w:p>
      <w:pPr>
        <w:spacing w:after="20"/>
        <w:jc w:val="center"/>
      </w:pPr>
      <w:r>
        <w:rPr>
          <w:rFonts w:ascii="Arial" w:hAnsi="Arial" w:eastAsia="Arial"/>
          <w:color w:val="17212B"/>
          <w:sz w:val="18"/>
        </w:rPr>
        <w:drawing>
          <wp:inline xmlns:a="http://schemas.openxmlformats.org/drawingml/2006/main" xmlns:pic="http://schemas.openxmlformats.org/drawingml/2006/picture">
            <wp:extent cx="6263999" cy="174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iring-ru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999" cy="17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40"/>
        <w:jc w:val="center"/>
      </w:pPr>
      <w:r>
        <w:rPr>
          <w:rFonts w:ascii="Arial" w:hAnsi="Arial" w:eastAsia="Arial"/>
          <w:color w:val="5E6B73"/>
          <w:sz w:val="14"/>
        </w:rPr>
        <w:t>Схема является пояснительной. Перед подключением обязательно сверяйтесь с маркировкой клемм на конкретном изделии.</w:t>
      </w:r>
    </w:p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Проверка и настройка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1. Установите TIME в минимальное положение, а LUX - в максимальное положение SUN.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2. Включите питание и подождите около 30 секунд до завершения прогрева.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3. После первого выключения подождите 5-10 секунд и снова войдите в зону обнаружения. Нагрузка должна включиться.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4. Установите LUX в минимальное положение MOON. При дневном освещении нагрузка не должна включаться.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5. Закройте окно датчика непрозрачным предметом. При обнаружении движения нагрузка должна включиться и затем выключиться через 5-15 секунд при отсутствии новых сигналов.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6" w:space="0" w:color="CCD8DC"/>
          <w:left w:val="single" w:sz="6" w:space="0" w:color="CCD8DC"/>
          <w:bottom w:val="single" w:sz="6" w:space="0" w:color="CCD8DC"/>
          <w:right w:val="single" w:sz="6" w:space="0" w:color="CCD8DC"/>
          <w:insideH w:val="single" w:sz="6" w:space="0" w:color="CCD8DC"/>
          <w:insideV w:val="single" w:sz="6" w:space="0" w:color="CCD8DC"/>
        </w:tblBorders>
      </w:tblPr>
      <w:tblGrid>
        <w:gridCol w:w="10148"/>
      </w:tblGrid>
      <w:tr>
        <w:tc>
          <w:tcPr>
            <w:tcW w:type="dxa" w:w="10035"/>
            <w:shd w:fill="EAF5F7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5E6B73"/>
                <w:sz w:val="16"/>
              </w:rPr>
              <w:t>При проверке днем устанавливайте LUX в положение SUN, иначе датчик может не включить нагрузку.</w:t>
            </w:r>
          </w:p>
        </w:tc>
      </w:tr>
    </w:tbl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Примечания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Устанавливайте датчик только на устойчивое и неподвижное основание.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Перед окном датчика не должно быть препятствий и движущихся предметов, способных вызвать ложное срабатывание.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Не устанавливайте датчик рядом с кондиционерами, отопительными приборами и другими источниками резкого изменения температуры воздуха.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Не вскрывайте корпус при включенном питании. При неисправности отключите устройство от сети.</w:t>
      </w:r>
    </w:p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Возможные неисправности и способы устранения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5" w:space="0" w:color="CCD8DC"/>
          <w:left w:val="single" w:sz="5" w:space="0" w:color="CCD8DC"/>
          <w:bottom w:val="single" w:sz="5" w:space="0" w:color="CCD8DC"/>
          <w:right w:val="single" w:sz="5" w:space="0" w:color="CCD8DC"/>
          <w:insideH w:val="single" w:sz="5" w:space="0" w:color="CCD8DC"/>
          <w:insideV w:val="single" w:sz="5" w:space="0" w:color="CCD8DC"/>
        </w:tblBorders>
      </w:tblPr>
      <w:tblGrid>
        <w:gridCol w:w="5074"/>
        <w:gridCol w:w="5074"/>
      </w:tblGrid>
      <w:tr>
        <w:trPr>
          <w:tblHeader w:val="true"/>
        </w:trPr>
        <w:tc>
          <w:tcPr>
            <w:tcW w:type="dxa" w:w="2835"/>
            <w:shd w:fill="126E82"/>
            <w:tcMar>
              <w:top w:w="80" w:type="dxa"/>
              <w:start w:w="100" w:type="dxa"/>
              <w:bottom w:w="80" w:type="dxa"/>
              <w:end w:w="100" w:type="dxa"/>
            </w:tcMar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FFFFFF"/>
                <w:sz w:val="16"/>
              </w:rPr>
              <w:t>Неисправность</w:t>
            </w:r>
          </w:p>
        </w:tc>
        <w:tc>
          <w:tcPr>
            <w:tcW w:type="dxa" w:w="7200"/>
            <w:shd w:fill="126E82"/>
            <w:tcMar>
              <w:top w:w="80" w:type="dxa"/>
              <w:start w:w="100" w:type="dxa"/>
              <w:bottom w:w="80" w:type="dxa"/>
              <w:end w:w="100" w:type="dxa"/>
            </w:tcMar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FFFFFF"/>
                <w:sz w:val="16"/>
              </w:rPr>
              <w:t>Проверка и возможная причина</w:t>
            </w:r>
          </w:p>
        </w:tc>
      </w:tr>
      <w:tr>
        <w:trPr>
          <w:cantSplit/>
        </w:trPr>
        <w:tc>
          <w:tcPr>
            <w:tcW w:type="dxa" w:w="2835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6"/>
              </w:rPr>
              <w:t>Нагрузка не включается</w:t>
            </w:r>
          </w:p>
        </w:tc>
        <w:tc>
          <w:tcPr>
            <w:tcW w:type="dxa" w:w="7200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30"/>
              <w:ind w:left="198" w:hanging="198"/>
            </w:pPr>
            <w:r/>
            <w:r>
              <w:rPr>
                <w:rFonts w:ascii="Arial" w:hAnsi="Arial" w:eastAsia="Arial"/>
                <w:color w:val="17212B"/>
                <w:sz w:val="16"/>
              </w:rPr>
              <w:t>1. Проверьте правильность подключения питания и нагрузки.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2. Проверьте исправность подключенной нагрузки.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3. Проверьте, соответствует ли настройка LUX фактической освещенности.</w:t>
            </w:r>
          </w:p>
        </w:tc>
      </w:tr>
      <w:tr>
        <w:trPr>
          <w:cantSplit/>
        </w:trPr>
        <w:tc>
          <w:tcPr>
            <w:tcW w:type="dxa" w:w="2835"/>
            <w:shd w:fill="F7FAFB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6"/>
              </w:rPr>
              <w:t>Низкая чувствительность</w:t>
            </w:r>
          </w:p>
        </w:tc>
        <w:tc>
          <w:tcPr>
            <w:tcW w:type="dxa" w:w="7200"/>
            <w:shd w:fill="F7FAFB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30"/>
              <w:ind w:left="198" w:hanging="198"/>
            </w:pPr>
            <w:r/>
            <w:r>
              <w:rPr>
                <w:rFonts w:ascii="Arial" w:hAnsi="Arial" w:eastAsia="Arial"/>
                <w:color w:val="17212B"/>
                <w:sz w:val="16"/>
              </w:rPr>
              <w:t>1. Убедитесь, что перед окном датчика нет препятствий.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2. Проверьте, не слишком ли высокая температура окружающей среды.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3. Убедитесь, что источник движения находится в зоне обнаружения.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4. Проверьте высоту установки.</w:t>
            </w:r>
          </w:p>
        </w:tc>
      </w:tr>
      <w:tr>
        <w:trPr>
          <w:cantSplit/>
        </w:trPr>
        <w:tc>
          <w:tcPr>
            <w:tcW w:type="dxa" w:w="2835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6"/>
              </w:rPr>
              <w:t>Нагрузка не выключается</w:t>
            </w:r>
          </w:p>
        </w:tc>
        <w:tc>
          <w:tcPr>
            <w:tcW w:type="dxa" w:w="7200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30"/>
              <w:ind w:left="198" w:hanging="198"/>
            </w:pPr>
            <w:r/>
            <w:r>
              <w:rPr>
                <w:rFonts w:ascii="Arial" w:hAnsi="Arial" w:eastAsia="Arial"/>
                <w:color w:val="17212B"/>
                <w:sz w:val="16"/>
              </w:rPr>
              <w:t>1. Проверьте, нет ли непрерывного движения в зоне обнаружения.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2. Проверьте, не установлена ли максимальная задержка выключения.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3. Проверьте соответствие параметров сети требованиям инструкции.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4. Исключите резкие изменения температуры рядом с датчиком, например от кондиционера или отопления.</w:t>
            </w:r>
          </w:p>
        </w:tc>
      </w:tr>
    </w:tbl>
    <w:p>
      <w:r>
        <w:br w:type="page"/>
      </w:r>
    </w:p>
    <w:p>
      <w:pPr>
        <w:spacing w:after="120"/>
      </w:pPr>
      <w:r>
        <w:rPr>
          <w:rFonts w:ascii="Arial" w:hAnsi="Arial" w:eastAsia="Arial"/>
          <w:b/>
          <w:color w:val="0A7684"/>
          <w:sz w:val="30"/>
        </w:rPr>
        <w:t>СХЕМЫ МОНТАЖА И ЗОНЫ ОБНАРУЖЕНИЯ</w:t>
      </w:r>
    </w:p>
    <w:tbl>
      <w:tblPr>
        <w:tblW w:type="auto" w:w="0"/>
        <w:tblLayout w:type="fixed"/>
        <w:tblLook w:firstColumn="1" w:firstRow="1" w:lastColumn="0" w:lastRow="0" w:noHBand="0" w:noVBand="1" w:val="04A0"/>
        <w:tblBorders>
          <w:top w:val="nil"/>
          <w:left w:val="nil"/>
          <w:bottom w:val="nil"/>
          <w:right w:val="nil"/>
          <w:insideH w:val="nil"/>
          <w:insideV w:val="nil"/>
        </w:tblBorders>
      </w:tblPr>
      <w:tblGrid>
        <w:gridCol w:w="4867"/>
        <w:gridCol w:w="4867"/>
      </w:tblGrid>
      <w:tr>
        <w:tc>
          <w:tcPr>
            <w:tcW w:type="dxa" w:w="4867"/>
            <w:vAlign w:val="top"/>
          </w:tcPr>
          <w:p/>
          <w:p>
            <w:pPr>
              <w:spacing w:before="40" w:after="80"/>
            </w:pPr>
            <w:r>
              <w:rPr>
                <w:rFonts w:ascii="Arial" w:hAnsi="Arial" w:eastAsia="Arial"/>
                <w:b/>
                <w:color w:val="0A7684"/>
                <w:sz w:val="23"/>
              </w:rPr>
              <w:t>Монтаж</w:t>
            </w:r>
          </w:p>
          <w:p>
            <w:pPr>
              <w:spacing w:after="4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926080" cy="5861914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201_mounting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58619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 w:after="40"/>
              <w:jc w:val="center"/>
            </w:pPr>
            <w:r>
              <w:rPr>
                <w:rFonts w:ascii="Arial" w:hAnsi="Arial" w:eastAsia="Arial"/>
                <w:b w:val="0"/>
                <w:color w:val="4A555B"/>
                <w:sz w:val="15"/>
              </w:rPr>
              <w:t>Последовательность операций показана по исходной инструкции.</w:t>
            </w:r>
          </w:p>
        </w:tc>
        <w:tc>
          <w:tcPr>
            <w:tcW w:type="dxa" w:w="4867"/>
            <w:vAlign w:val="top"/>
          </w:tcPr>
          <w:p/>
          <w:p>
            <w:pPr>
              <w:spacing w:before="40" w:after="80"/>
            </w:pPr>
            <w:r>
              <w:rPr>
                <w:rFonts w:ascii="Arial" w:hAnsi="Arial" w:eastAsia="Arial"/>
                <w:b/>
                <w:color w:val="0A7684"/>
                <w:sz w:val="23"/>
              </w:rPr>
              <w:t>Зона обнаружения</w:t>
            </w:r>
          </w:p>
          <w:p>
            <w:pPr>
              <w:spacing w:after="4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926080" cy="1572768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201_detectio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57276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 w:after="40"/>
              <w:jc w:val="center"/>
            </w:pPr>
            <w:r>
              <w:rPr>
                <w:rFonts w:ascii="Arial" w:hAnsi="Arial" w:eastAsia="Arial"/>
                <w:b w:val="0"/>
                <w:color w:val="4A555B"/>
                <w:sz w:val="15"/>
              </w:rPr>
              <w:t>Фактическая дальность зависит от температуры, высоты и направления движения.</w:t>
            </w:r>
          </w:p>
        </w:tc>
      </w:tr>
    </w:tbl>
    <w:tbl>
      <w:tblPr>
        <w:tblW w:type="auto" w:w="0"/>
        <w:tblLayout w:type="fixed"/>
        <w:tblLook w:firstColumn="1" w:firstRow="1" w:lastColumn="0" w:lastRow="0" w:noHBand="0" w:noVBand="1" w:val="04A0"/>
        <w:tblBorders>
          <w:top w:val="nil"/>
          <w:left w:val="nil"/>
          <w:bottom w:val="nil"/>
          <w:right w:val="nil"/>
          <w:insideH w:val="nil"/>
          <w:insideV w:val="nil"/>
        </w:tblBorders>
      </w:tblPr>
      <w:tblGrid>
        <w:gridCol w:w="9648"/>
      </w:tblGrid>
      <w:tr>
        <w:tc>
          <w:tcPr>
            <w:tcW w:type="dxa" w:w="10148"/>
            <w:shd w:fill="EAF4F5"/>
          </w:tcPr>
          <w:p>
            <w:pPr>
              <w:spacing w:before="60" w:after="60"/>
            </w:pPr>
            <w:r>
              <w:rPr>
                <w:rFonts w:ascii="Arial" w:hAnsi="Arial" w:eastAsia="Arial"/>
                <w:b/>
                <w:color w:val="0A7684"/>
                <w:sz w:val="16"/>
              </w:rPr>
              <w:t xml:space="preserve">Важно: </w:t>
            </w:r>
            <w:r>
              <w:rPr>
                <w:rFonts w:ascii="Arial" w:hAnsi="Arial" w:eastAsia="Arial"/>
                <w:b w:val="0"/>
                <w:color w:val="4A555B"/>
                <w:sz w:val="16"/>
              </w:rPr>
              <w:t>перед монтажом отключите питание. Установку и подключение должен выполнять квалифицированный электрик.</w:t>
            </w:r>
          </w:p>
        </w:tc>
      </w:tr>
    </w:tbl>
    <w:p>
      <w:pPr>
        <w:spacing w:after="0"/>
      </w:pPr>
      <w:r>
        <w:br w:type="page"/>
      </w:r>
    </w:p>
    <w:p>
      <w:pPr>
        <w:keepNext/>
        <w:spacing w:after="120"/>
      </w:pPr>
      <w:r>
        <w:rPr>
          <w:rFonts w:ascii="Arial" w:hAnsi="Arial" w:eastAsia="Arial"/>
          <w:b/>
          <w:color w:val="0A7684"/>
          <w:sz w:val="30"/>
        </w:rPr>
        <w:t>ГАБАРИТНЫЕ РАЗМЕРЫ</w:t>
      </w:r>
    </w:p>
    <w:p>
      <w:pPr>
        <w:keepLines/>
        <w:spacing w:before="80" w:after="0"/>
        <w:jc w:val="center"/>
      </w:pPr>
      <w:r>
        <w:drawing>
          <wp:inline xmlns:a="http://schemas.openxmlformats.org/drawingml/2006/main" xmlns:pic="http://schemas.openxmlformats.org/drawingml/2006/picture">
            <wp:extent cx="6172200" cy="3392521"/>
            <wp:docPr id="5" name="Схема габаритных размеров" descr="Габаритные размеры датчиков QENVI MD-CR 360/8 и MD-CR 360/8 B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cedd955-4a37-4c5d-9124-0b53410f17e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9252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headerReference w:type="default" r:id="rId9"/>
      <w:footerReference w:type="default" r:id="rId10"/>
      <w:pgSz w:w="11906" w:h="16838"/>
      <w:pgMar w:top="935" w:right="879" w:bottom="879" w:left="879" w:header="369" w:footer="36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  <w:r/>
  </w:p>
  <w:tbl>
    <w:tblPr>
      <w:tblW w:type="auto" w:w="0"/>
      <w:jc w:val="center"/>
      <w:tblLayout w:type="fixed"/>
      <w:tblLook w:firstColumn="1" w:firstRow="1" w:lastColumn="0" w:lastRow="0" w:noHBand="0" w:noVBand="1" w:val="04A0"/>
      <w:tblBorders>
        <w:top w:val="single" w:sz="0" w:space="0" w:color="CCD8DC"/>
        <w:left w:val="single" w:sz="0" w:space="0" w:color="CCD8DC"/>
        <w:bottom w:val="single" w:sz="0" w:space="0" w:color="CCD8DC"/>
        <w:right w:val="single" w:sz="0" w:space="0" w:color="CCD8DC"/>
        <w:insideH w:val="single" w:sz="0" w:space="0" w:color="CCD8DC"/>
        <w:insideV w:val="single" w:sz="0" w:space="0" w:color="CCD8DC"/>
      </w:tblBorders>
    </w:tblPr>
    <w:tblGrid>
      <w:gridCol w:w="5074"/>
      <w:gridCol w:w="5074"/>
    </w:tblGrid>
    <w:tr>
      <w:tc>
        <w:tcPr>
          <w:tcW w:type="dxa" w:w="8221"/>
          <w:tcMar>
            <w:top w:w="20" w:type="dxa"/>
            <w:start w:w="0" w:type="dxa"/>
            <w:bottom w:w="0" w:type="dxa"/>
            <w:end w:w="0" w:type="dxa"/>
          </w:tcMar>
        </w:tcPr>
        <w:p>
          <w:pPr>
            <w:spacing w:after="0" w:before="0"/>
          </w:pPr>
          <w:r>
            <w:rPr>
              <w:rFonts w:ascii="Arial" w:hAnsi="Arial" w:eastAsia="Arial"/>
              <w:b w:val="0"/>
              <w:color w:val="5E6B73"/>
              <w:sz w:val="14"/>
            </w:rPr>
            <w:t>Сохраните инструкцию для дальнейшего использования</w:t>
          </w:r>
        </w:p>
      </w:tc>
      <w:tc>
        <w:tcPr>
          <w:tcW w:type="dxa" w:w="1927"/>
          <w:tcMar>
            <w:top w:w="20" w:type="dxa"/>
            <w:start w:w="0" w:type="dxa"/>
            <w:bottom w:w="0" w:type="dxa"/>
            <w:end w:w="0" w:type="dxa"/>
          </w:tcMar>
        </w:tcPr>
        <w:p>
          <w:pPr>
            <w:jc w:val="right"/>
          </w:pPr>
          <w:r>
            <w:rPr>
              <w:rFonts w:ascii="Arial" w:hAnsi="Arial" w:eastAsia="Arial"/>
              <w:color w:val="5E6B73"/>
              <w:sz w:val="14"/>
            </w:rPr>
            <w:t xml:space="preserve">Страница </w:t>
          </w:r>
          <w:r>
            <w:rPr>
              <w:rFonts w:ascii="Arial" w:hAnsi="Arial" w:eastAsia="Arial"/>
              <w:color w:val="5E6B73"/>
              <w:sz w:val="15"/>
            </w:rPr>
            <w:fldChar w:fldCharType="begin"/>
            <w:instrText xml:space="preserve">PAGE</w:instrText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/>
  </w:p>
  <w:tbl>
    <w:tblPr>
      <w:tblW w:type="auto" w:w="0"/>
      <w:jc w:val="center"/>
      <w:tblLayout w:type="fixed"/>
      <w:tblLook w:firstColumn="1" w:firstRow="1" w:lastColumn="0" w:lastRow="0" w:noHBand="0" w:noVBand="1" w:val="04A0"/>
      <w:tblBorders>
        <w:top w:val="single" w:sz="0" w:space="0" w:color="CCD8DC"/>
        <w:left w:val="single" w:sz="0" w:space="0" w:color="CCD8DC"/>
        <w:bottom w:val="single" w:sz="0" w:space="0" w:color="CCD8DC"/>
        <w:right w:val="single" w:sz="0" w:space="0" w:color="CCD8DC"/>
        <w:insideH w:val="single" w:sz="0" w:space="0" w:color="CCD8DC"/>
        <w:insideV w:val="single" w:sz="0" w:space="0" w:color="CCD8DC"/>
      </w:tblBorders>
    </w:tblPr>
    <w:tblGrid>
      <w:gridCol w:w="5074"/>
      <w:gridCol w:w="5074"/>
    </w:tblGrid>
    <w:tr>
      <w:tc>
        <w:tcPr>
          <w:tcW w:type="dxa" w:w="5103"/>
          <w:tcMar>
            <w:top w:w="0" w:type="dxa"/>
            <w:start w:w="0" w:type="dxa"/>
            <w:bottom w:w="20" w:type="dxa"/>
            <w:end w:w="0" w:type="dxa"/>
          </w:tcMar>
        </w:tcPr>
        <w:p>
          <w:pPr>
            <w:spacing w:after="0" w:before="0"/>
            <w:pBdr/>
          </w:pPr>
          <w:r>
            <w:rPr>
              <w:rFonts w:ascii="Arial" w:hAnsi="Arial" w:eastAsia="Arial"/>
              <w:b w:val="0"/>
              <w:color w:val="5E6B73"/>
              <w:sz w:val="15"/>
            </w:rPr>
            <w:t>ИНСТРУКЦИЯ ПО ЭКСПЛУАТАЦИИ</w:t>
          </w:r>
        </w:p>
      </w:tc>
      <w:tc>
        <w:tcPr>
          <w:tcW w:type="dxa" w:w="5046"/>
          <w:tcMar>
            <w:top w:w="0" w:type="dxa"/>
            <w:start w:w="0" w:type="dxa"/>
            <w:bottom w:w="20" w:type="dxa"/>
            <w:end w:w="0" w:type="dxa"/>
          </w:tcMar>
        </w:tcPr>
        <w:p>
          <w:pPr>
            <w:spacing w:after="0" w:before="0"/>
            <w:jc w:val="right"/>
          </w:pPr>
          <w:r>
            <w:rPr>
              <w:rFonts w:ascii="Arial" w:hAnsi="Arial" w:eastAsia="Arial"/>
              <w:b w:val="0"/>
              <w:color w:val="5E6B73"/>
              <w:sz w:val="15"/>
            </w:rPr>
            <w:t>Артикул 1201 / 1202</w:t>
          </w:r>
        </w:p>
      </w:tc>
    </w:tr>
  </w:tbl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60" w:line="269" w:lineRule="auto"/>
    </w:pPr>
    <w:rPr>
      <w:rFonts w:ascii="Arial" w:hAnsi="Arial" w:eastAsia="Arial"/>
      <w:color w:val="17212B"/>
      <w:sz w:val="18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140" w:after="60"/>
      <w:outlineLvl w:val="0"/>
    </w:pPr>
    <w:rPr>
      <w:rFonts w:asciiTheme="majorHAnsi" w:eastAsiaTheme="majorEastAsia" w:hAnsiTheme="majorHAnsi" w:cstheme="majorBidi" w:ascii="Arial" w:hAnsi="Arial" w:eastAsia="Arial"/>
      <w:b/>
      <w:bCs/>
      <w:i w:val="0"/>
      <w:color w:val="126E82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keepNext/>
      <w:pBdr>
        <w:bottom w:val="single" w:sz="8" w:space="4" w:color="4F81BD" w:themeColor="accent1"/>
      </w:pBdr>
      <w:spacing w:after="40" w:line="240" w:lineRule="auto"/>
      <w:contextualSpacing/>
    </w:pPr>
    <w:rPr>
      <w:rFonts w:asciiTheme="majorHAnsi" w:eastAsiaTheme="majorEastAsia" w:hAnsiTheme="majorHAnsi" w:cstheme="majorBidi" w:ascii="Arial" w:hAnsi="Arial" w:eastAsia="Arial"/>
      <w:b/>
      <w:i w:val="0"/>
      <w:color w:val="17212B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keepNext/>
      <w:numPr>
        <w:ilvl w:val="1"/>
      </w:numPr>
      <w:spacing w:after="140"/>
    </w:pPr>
    <w:rPr>
      <w:rFonts w:asciiTheme="majorHAnsi" w:eastAsiaTheme="majorEastAsia" w:hAnsiTheme="majorHAnsi" w:cstheme="majorBidi" w:ascii="Arial" w:hAnsi="Arial" w:eastAsia="Arial"/>
      <w:b/>
      <w:i w:val="0"/>
      <w:iCs/>
      <w:color w:val="126E82"/>
      <w:spacing w:val="15"/>
      <w:sz w:val="2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spacing w:after="50" w:line="259" w:lineRule="auto"/>
      <w:ind w:left="312" w:hanging="142"/>
      <w:contextualSpacing/>
    </w:pPr>
    <w:rPr>
      <w:rFonts w:ascii="Arial" w:hAnsi="Arial" w:eastAsia="Arial"/>
      <w:color w:val="17212B"/>
      <w:sz w:val="18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spacing w:after="50" w:line="259" w:lineRule="auto"/>
      <w:ind w:left="312" w:hanging="142"/>
      <w:contextualSpacing/>
    </w:pPr>
    <w:rPr>
      <w:rFonts w:ascii="Arial" w:hAnsi="Arial" w:eastAsia="Arial"/>
      <w:color w:val="17212B"/>
      <w:sz w:val="18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на русском - 1201 / 1202</dc:title>
  <dc:subject>Инструкция по эксплуатации инфракрасного датчика движения</dc:subject>
  <dc:creator/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